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D34F" w14:textId="31984893" w:rsidR="00D543A5" w:rsidRPr="00D543A5" w:rsidRDefault="00D543A5" w:rsidP="00D543A5">
      <w:pPr>
        <w:spacing w:after="0"/>
        <w:jc w:val="center"/>
        <w:rPr>
          <w:rFonts w:ascii="Open Sans" w:hAnsi="Open Sans" w:cs="Open Sans"/>
          <w:b/>
          <w:bCs/>
        </w:rPr>
      </w:pPr>
      <w:r w:rsidRPr="00D543A5">
        <w:rPr>
          <w:rFonts w:ascii="Open Sans" w:hAnsi="Open Sans" w:cs="Open Sans"/>
          <w:b/>
          <w:bCs/>
        </w:rPr>
        <w:t>202</w:t>
      </w:r>
      <w:r w:rsidR="00CA6409">
        <w:rPr>
          <w:rFonts w:ascii="Open Sans" w:hAnsi="Open Sans" w:cs="Open Sans"/>
          <w:b/>
          <w:bCs/>
        </w:rPr>
        <w:t>5</w:t>
      </w:r>
      <w:r w:rsidRPr="00D543A5">
        <w:rPr>
          <w:rFonts w:ascii="Open Sans" w:hAnsi="Open Sans" w:cs="Open Sans"/>
          <w:b/>
          <w:bCs/>
        </w:rPr>
        <w:t xml:space="preserve"> FMA Securities Compliance Seminar</w:t>
      </w:r>
      <w:r w:rsidR="00150CB9">
        <w:rPr>
          <w:rFonts w:ascii="Open Sans" w:hAnsi="Open Sans" w:cs="Open Sans"/>
          <w:b/>
          <w:bCs/>
        </w:rPr>
        <w:t xml:space="preserve"> </w:t>
      </w:r>
      <w:r w:rsidRPr="00D543A5">
        <w:rPr>
          <w:rFonts w:ascii="Open Sans" w:hAnsi="Open Sans" w:cs="Open Sans"/>
          <w:b/>
          <w:bCs/>
        </w:rPr>
        <w:t>Regulatory Forum</w:t>
      </w:r>
    </w:p>
    <w:p w14:paraId="228F977A" w14:textId="5EF965A5" w:rsidR="00D543A5" w:rsidRDefault="00D543A5" w:rsidP="00D543A5">
      <w:pPr>
        <w:spacing w:after="0"/>
        <w:jc w:val="center"/>
        <w:rPr>
          <w:rFonts w:ascii="Open Sans" w:hAnsi="Open Sans" w:cs="Open Sans"/>
          <w:b/>
          <w:bCs/>
        </w:rPr>
      </w:pPr>
      <w:r w:rsidRPr="00D543A5">
        <w:rPr>
          <w:rFonts w:ascii="Open Sans" w:hAnsi="Open Sans" w:cs="Open Sans"/>
          <w:b/>
          <w:bCs/>
        </w:rPr>
        <w:t>Resource List</w:t>
      </w:r>
    </w:p>
    <w:p w14:paraId="20BD5019" w14:textId="19B68ACD" w:rsidR="00D543A5" w:rsidRDefault="00D543A5" w:rsidP="00D543A5">
      <w:pPr>
        <w:spacing w:after="0"/>
        <w:rPr>
          <w:rFonts w:ascii="Open Sans" w:hAnsi="Open Sans" w:cs="Open Sans"/>
        </w:rPr>
      </w:pPr>
    </w:p>
    <w:p w14:paraId="60250E22" w14:textId="48E99770" w:rsidR="00A86B25" w:rsidRPr="0006302F" w:rsidRDefault="002A653A" w:rsidP="006753B3">
      <w:pPr>
        <w:spacing w:after="180" w:line="240" w:lineRule="auto"/>
        <w:rPr>
          <w:rStyle w:val="Hyperlink"/>
          <w:rFonts w:ascii="Open Sans" w:hAnsi="Open Sans" w:cs="Open Sans"/>
        </w:rPr>
      </w:pPr>
      <w:hyperlink r:id="rId11" w:history="1">
        <w:r w:rsidR="00A86B25" w:rsidRPr="0006302F">
          <w:rPr>
            <w:rStyle w:val="Hyperlink"/>
            <w:rFonts w:ascii="Open Sans" w:hAnsi="Open Sans" w:cs="Open Sans"/>
          </w:rPr>
          <w:t>SEC Division of Examinations: Fiscal Year 2025 Examination Priorities</w:t>
        </w:r>
      </w:hyperlink>
    </w:p>
    <w:p w14:paraId="67653494" w14:textId="063007AD" w:rsidR="00E93FB0" w:rsidRPr="0006302F" w:rsidRDefault="002A653A" w:rsidP="006753B3">
      <w:pPr>
        <w:spacing w:after="180" w:line="240" w:lineRule="auto"/>
        <w:rPr>
          <w:rFonts w:ascii="Open Sans" w:hAnsi="Open Sans" w:cs="Open Sans"/>
        </w:rPr>
      </w:pPr>
      <w:hyperlink r:id="rId12" w:anchor="33-11366final" w:history="1">
        <w:r w:rsidR="00E93FB0" w:rsidRPr="0006302F">
          <w:rPr>
            <w:rStyle w:val="Hyperlink"/>
            <w:rFonts w:ascii="Open Sans" w:hAnsi="Open Sans" w:cs="Open Sans"/>
          </w:rPr>
          <w:t>SEC Release No. 33-11366</w:t>
        </w:r>
      </w:hyperlink>
      <w:r w:rsidR="00E93FB0" w:rsidRPr="0006302F">
        <w:rPr>
          <w:rFonts w:ascii="Open Sans" w:hAnsi="Open Sans" w:cs="Open Sans"/>
        </w:rPr>
        <w:t xml:space="preserve"> (March 10, 2025): Delegation of Authority to Director of the Division of Enforcement</w:t>
      </w:r>
    </w:p>
    <w:p w14:paraId="3B4FC38C" w14:textId="635FB0CA" w:rsidR="008F54D6" w:rsidRPr="0006302F" w:rsidRDefault="002A653A" w:rsidP="00B9112E">
      <w:pPr>
        <w:spacing w:after="180" w:line="240" w:lineRule="auto"/>
        <w:ind w:left="360"/>
        <w:rPr>
          <w:rFonts w:ascii="Open Sans" w:hAnsi="Open Sans" w:cs="Open Sans"/>
        </w:rPr>
      </w:pPr>
      <w:hyperlink r:id="rId13" w:history="1">
        <w:r w:rsidR="003F6076" w:rsidRPr="0006302F">
          <w:rPr>
            <w:rStyle w:val="Hyperlink"/>
            <w:rFonts w:ascii="Open Sans" w:hAnsi="Open Sans" w:cs="Open Sans"/>
          </w:rPr>
          <w:t>SEC Risk Alert</w:t>
        </w:r>
      </w:hyperlink>
      <w:r w:rsidR="008F54D6" w:rsidRPr="0006302F">
        <w:rPr>
          <w:rFonts w:ascii="Open Sans" w:hAnsi="Open Sans" w:cs="Open Sans"/>
        </w:rPr>
        <w:t xml:space="preserve"> Broker-Dealers: Staff Assessment of Risks, Scoping of Examinations, and Requesting of Documents</w:t>
      </w:r>
      <w:r w:rsidR="00CE0D18" w:rsidRPr="0006302F">
        <w:rPr>
          <w:rFonts w:ascii="Open Sans" w:hAnsi="Open Sans" w:cs="Open Sans"/>
        </w:rPr>
        <w:t xml:space="preserve"> (June 5, 2024)</w:t>
      </w:r>
    </w:p>
    <w:p w14:paraId="17A65510" w14:textId="5A581E96" w:rsidR="00E159C7" w:rsidRPr="0006302F" w:rsidRDefault="002A653A" w:rsidP="00E730F4">
      <w:pPr>
        <w:spacing w:after="180" w:line="240" w:lineRule="auto"/>
        <w:ind w:left="360"/>
        <w:rPr>
          <w:rFonts w:ascii="Open Sans" w:hAnsi="Open Sans" w:cs="Open Sans"/>
        </w:rPr>
      </w:pPr>
      <w:hyperlink r:id="rId14" w:history="1">
        <w:r w:rsidR="00B71E73" w:rsidRPr="0006302F">
          <w:rPr>
            <w:rStyle w:val="Hyperlink"/>
            <w:rFonts w:ascii="Open Sans" w:hAnsi="Open Sans" w:cs="Open Sans"/>
          </w:rPr>
          <w:t>SEC Risk Alert</w:t>
        </w:r>
      </w:hyperlink>
      <w:r w:rsidR="00B71E73" w:rsidRPr="0006302F">
        <w:rPr>
          <w:rFonts w:ascii="Open Sans" w:hAnsi="Open Sans" w:cs="Open Sans"/>
        </w:rPr>
        <w:t xml:space="preserve"> Registered Investment Companies:  Review of Certain Core Areas and Associated Documents Requested (Nov. 4, 2024)</w:t>
      </w:r>
    </w:p>
    <w:p w14:paraId="7897E40C" w14:textId="5E0D25F7" w:rsidR="00E159C7" w:rsidRPr="0006302F" w:rsidRDefault="002A653A" w:rsidP="00AA0696">
      <w:pPr>
        <w:spacing w:after="480" w:line="240" w:lineRule="auto"/>
        <w:ind w:left="360"/>
        <w:rPr>
          <w:rFonts w:ascii="Open Sans" w:hAnsi="Open Sans" w:cs="Open Sans"/>
        </w:rPr>
      </w:pPr>
      <w:hyperlink r:id="rId15" w:history="1">
        <w:r w:rsidR="005007BD" w:rsidRPr="0006302F">
          <w:rPr>
            <w:rStyle w:val="Hyperlink"/>
            <w:rFonts w:ascii="Open Sans" w:hAnsi="Open Sans" w:cs="Open Sans"/>
          </w:rPr>
          <w:t xml:space="preserve">SEC Risk Alert </w:t>
        </w:r>
      </w:hyperlink>
      <w:r w:rsidR="00B422A8" w:rsidRPr="0006302F">
        <w:rPr>
          <w:rFonts w:ascii="Open Sans" w:hAnsi="Open Sans" w:cs="Open Sans"/>
        </w:rPr>
        <w:t>Municipal Advisors: Staff Assessment of Risks, Scoping of Examinations, and Requesting of Documents (Dec. 9. 2024)</w:t>
      </w:r>
    </w:p>
    <w:p w14:paraId="23D9328E" w14:textId="7B170168" w:rsidR="006753B3" w:rsidRPr="0006302F" w:rsidRDefault="002A653A" w:rsidP="006753B3">
      <w:pPr>
        <w:spacing w:after="180" w:line="240" w:lineRule="auto"/>
        <w:rPr>
          <w:rFonts w:ascii="Open Sans" w:eastAsia="Calibri" w:hAnsi="Open Sans" w:cs="Open Sans"/>
          <w:color w:val="0000FF"/>
          <w:kern w:val="2"/>
          <w:u w:val="single"/>
          <w14:ligatures w14:val="standardContextual"/>
        </w:rPr>
      </w:pPr>
      <w:hyperlink r:id="rId16" w:history="1">
        <w:r w:rsidR="006753B3" w:rsidRPr="0006302F">
          <w:rPr>
            <w:rFonts w:ascii="Open Sans" w:eastAsia="Calibri" w:hAnsi="Open Sans" w:cs="Open Sans"/>
            <w:color w:val="4472C4" w:themeColor="accent1"/>
            <w:kern w:val="2"/>
            <w:u w:val="single"/>
            <w14:ligatures w14:val="standardContextual"/>
          </w:rPr>
          <w:t>2025 FINRA Annual Regulatory Oversight Report</w:t>
        </w:r>
      </w:hyperlink>
    </w:p>
    <w:p w14:paraId="10930757" w14:textId="211F555F" w:rsidR="009C4011" w:rsidRPr="0006302F" w:rsidRDefault="002A653A" w:rsidP="009C4011">
      <w:pPr>
        <w:spacing w:after="180" w:line="240" w:lineRule="auto"/>
        <w:ind w:left="360"/>
        <w:rPr>
          <w:rFonts w:ascii="Open Sans" w:eastAsia="Calibri" w:hAnsi="Open Sans" w:cs="Open Sans"/>
          <w:color w:val="0000FF"/>
          <w:kern w:val="2"/>
          <w:u w:val="single"/>
          <w14:ligatures w14:val="standardContextual"/>
        </w:rPr>
      </w:pPr>
      <w:hyperlink r:id="rId17" w:history="1">
        <w:r w:rsidR="000F3B10" w:rsidRPr="0006302F">
          <w:rPr>
            <w:rStyle w:val="Hyperlink"/>
            <w:rFonts w:ascii="Open Sans" w:eastAsia="Calibri" w:hAnsi="Open Sans" w:cs="Open Sans"/>
            <w:kern w:val="2"/>
            <w14:ligatures w14:val="standardContextual"/>
          </w:rPr>
          <w:t>Third-Party Risk Landscape</w:t>
        </w:r>
      </w:hyperlink>
    </w:p>
    <w:p w14:paraId="71970AE0" w14:textId="5327796B" w:rsidR="00C14D3E" w:rsidRPr="0006302F" w:rsidRDefault="002A653A" w:rsidP="009C4011">
      <w:pPr>
        <w:spacing w:after="180" w:line="240" w:lineRule="auto"/>
        <w:ind w:left="360"/>
        <w:rPr>
          <w:rFonts w:ascii="Open Sans" w:eastAsia="Calibri" w:hAnsi="Open Sans" w:cs="Open Sans"/>
          <w:color w:val="0000FF"/>
          <w:kern w:val="2"/>
          <w:u w:val="single"/>
          <w14:ligatures w14:val="standardContextual"/>
        </w:rPr>
      </w:pPr>
      <w:hyperlink r:id="rId18" w:history="1">
        <w:r w:rsidR="00C14D3E" w:rsidRPr="0006302F">
          <w:rPr>
            <w:rStyle w:val="Hyperlink"/>
            <w:rFonts w:ascii="Open Sans" w:eastAsia="Calibri" w:hAnsi="Open Sans" w:cs="Open Sans"/>
            <w:kern w:val="2"/>
            <w14:ligatures w14:val="standardContextual"/>
          </w:rPr>
          <w:t>Extended Hours Trading</w:t>
        </w:r>
      </w:hyperlink>
    </w:p>
    <w:p w14:paraId="284573F2" w14:textId="02BC2350" w:rsidR="00584544" w:rsidRPr="0006302F" w:rsidRDefault="002A653A" w:rsidP="009C4011">
      <w:pPr>
        <w:spacing w:after="180" w:line="240" w:lineRule="auto"/>
        <w:ind w:left="360"/>
        <w:rPr>
          <w:rFonts w:ascii="Open Sans" w:eastAsia="Calibri" w:hAnsi="Open Sans" w:cs="Open Sans"/>
          <w:kern w:val="2"/>
          <w14:ligatures w14:val="standardContextual"/>
        </w:rPr>
      </w:pPr>
      <w:hyperlink r:id="rId19" w:history="1">
        <w:r w:rsidR="00701FD8" w:rsidRPr="0006302F">
          <w:rPr>
            <w:rStyle w:val="Hyperlink"/>
            <w:rFonts w:ascii="Open Sans" w:eastAsia="Calibri" w:hAnsi="Open Sans" w:cs="Open Sans"/>
            <w:kern w:val="2"/>
            <w14:ligatures w14:val="standardContextual"/>
          </w:rPr>
          <w:t>Annuities Securities Products</w:t>
        </w:r>
      </w:hyperlink>
      <w:r w:rsidR="00584544" w:rsidRPr="0006302F">
        <w:rPr>
          <w:rFonts w:ascii="Open Sans" w:eastAsia="Calibri" w:hAnsi="Open Sans" w:cs="Open Sans"/>
          <w:kern w:val="2"/>
          <w14:ligatures w14:val="standardContextual"/>
        </w:rPr>
        <w:t xml:space="preserve"> and </w:t>
      </w:r>
      <w:hyperlink r:id="rId20" w:history="1">
        <w:r w:rsidR="00584544" w:rsidRPr="0006302F">
          <w:rPr>
            <w:rStyle w:val="Hyperlink"/>
            <w:rFonts w:ascii="Open Sans" w:eastAsia="Calibri" w:hAnsi="Open Sans" w:cs="Open Sans"/>
            <w:kern w:val="2"/>
            <w14:ligatures w14:val="standardContextual"/>
          </w:rPr>
          <w:t>Reg BI</w:t>
        </w:r>
      </w:hyperlink>
    </w:p>
    <w:p w14:paraId="209A8AD5" w14:textId="5F0F4290" w:rsidR="00B06E78" w:rsidRPr="0006302F" w:rsidRDefault="002A653A" w:rsidP="009C4011">
      <w:pPr>
        <w:spacing w:after="180" w:line="240" w:lineRule="auto"/>
        <w:ind w:left="360"/>
        <w:rPr>
          <w:rFonts w:ascii="Open Sans" w:eastAsia="Calibri" w:hAnsi="Open Sans" w:cs="Open Sans"/>
          <w:color w:val="0000FF"/>
          <w:kern w:val="2"/>
          <w:u w:val="single"/>
          <w14:ligatures w14:val="standardContextual"/>
        </w:rPr>
      </w:pPr>
      <w:hyperlink r:id="rId21" w:anchor="_investment-fraud" w:history="1">
        <w:r w:rsidR="00B06E78" w:rsidRPr="0006302F">
          <w:rPr>
            <w:rStyle w:val="Hyperlink"/>
            <w:rFonts w:ascii="Open Sans" w:eastAsia="Calibri" w:hAnsi="Open Sans" w:cs="Open Sans"/>
            <w:kern w:val="2"/>
            <w14:ligatures w14:val="standardContextual"/>
          </w:rPr>
          <w:t>Investment Fraud by Bad Actors Targeting Investors Directly</w:t>
        </w:r>
      </w:hyperlink>
    </w:p>
    <w:p w14:paraId="5027A0A3" w14:textId="0EBED2D6" w:rsidR="006D6939" w:rsidRPr="0006302F" w:rsidRDefault="002A653A" w:rsidP="009C4011">
      <w:pPr>
        <w:spacing w:after="180" w:line="240" w:lineRule="auto"/>
        <w:ind w:left="360"/>
        <w:rPr>
          <w:rFonts w:ascii="Open Sans" w:eastAsia="Calibri" w:hAnsi="Open Sans" w:cs="Open Sans"/>
          <w:color w:val="0000FF"/>
          <w:kern w:val="2"/>
          <w:u w:val="single"/>
          <w14:ligatures w14:val="standardContextual"/>
        </w:rPr>
      </w:pPr>
      <w:hyperlink r:id="rId22" w:history="1">
        <w:r w:rsidR="00066D43" w:rsidRPr="0006302F">
          <w:rPr>
            <w:rStyle w:val="Hyperlink"/>
            <w:rFonts w:ascii="Open Sans" w:eastAsia="Calibri" w:hAnsi="Open Sans" w:cs="Open Sans"/>
            <w:kern w:val="2"/>
            <w14:ligatures w14:val="standardContextual"/>
          </w:rPr>
          <w:t>Customer Order Handling: Best Execution and Order Routing Disclosures</w:t>
        </w:r>
      </w:hyperlink>
    </w:p>
    <w:p w14:paraId="00ACFA3C" w14:textId="77777777" w:rsidR="00DF54CF" w:rsidRDefault="002A653A" w:rsidP="00432B36">
      <w:pPr>
        <w:spacing w:after="180" w:line="240" w:lineRule="auto"/>
        <w:rPr>
          <w:rFonts w:ascii="Open Sans" w:eastAsia="Calibri" w:hAnsi="Open Sans" w:cs="Open Sans"/>
          <w:kern w:val="2"/>
          <w14:ligatures w14:val="standardContextual"/>
        </w:rPr>
      </w:pPr>
      <w:hyperlink r:id="rId23" w:history="1">
        <w:r w:rsidR="00DF54CF" w:rsidRPr="0006302F">
          <w:rPr>
            <w:rFonts w:ascii="Open Sans" w:eastAsia="Calibri" w:hAnsi="Open Sans" w:cs="Open Sans"/>
            <w:color w:val="4472C4" w:themeColor="accent1"/>
            <w:kern w:val="2"/>
            <w:u w:val="single"/>
            <w14:ligatures w14:val="standardContextual"/>
          </w:rPr>
          <w:t>FINRA Regulatory Notice 21-29</w:t>
        </w:r>
      </w:hyperlink>
      <w:r w:rsidR="00DF54CF" w:rsidRPr="0006302F">
        <w:rPr>
          <w:rFonts w:ascii="Open Sans" w:eastAsia="Calibri" w:hAnsi="Open Sans" w:cs="Open Sans"/>
          <w:kern w:val="2"/>
          <w14:ligatures w14:val="standardContextual"/>
        </w:rPr>
        <w:t xml:space="preserve">  FINRA Reminds Firms of their Supervisory Obligations Related to Outsourcing to Third-Party Vendors</w:t>
      </w:r>
    </w:p>
    <w:p w14:paraId="32C8642E" w14:textId="2B45EC27" w:rsidR="00A71D17" w:rsidRPr="00B64247" w:rsidRDefault="002A653A" w:rsidP="00432B36">
      <w:pPr>
        <w:spacing w:after="180" w:line="240" w:lineRule="auto"/>
        <w:rPr>
          <w:rFonts w:ascii="Open Sans" w:hAnsi="Open Sans" w:cs="Open Sans"/>
        </w:rPr>
      </w:pPr>
      <w:hyperlink r:id="rId24" w:history="1">
        <w:r w:rsidR="00C73098" w:rsidRPr="00B64247">
          <w:rPr>
            <w:rStyle w:val="Hyperlink"/>
            <w:rFonts w:ascii="Open Sans" w:hAnsi="Open Sans" w:cs="Open Sans"/>
          </w:rPr>
          <w:t>Updating TRACE Reporting Timeframes</w:t>
        </w:r>
      </w:hyperlink>
      <w:r w:rsidR="00C73098" w:rsidRPr="00B64247">
        <w:rPr>
          <w:rFonts w:ascii="Open Sans" w:hAnsi="Open Sans" w:cs="Open Sans"/>
        </w:rPr>
        <w:t xml:space="preserve"> by Robert Cook</w:t>
      </w:r>
      <w:r w:rsidR="00B64247" w:rsidRPr="00B64247">
        <w:rPr>
          <w:rFonts w:ascii="Open Sans" w:hAnsi="Open Sans" w:cs="Open Sans"/>
        </w:rPr>
        <w:t>, President and CEO, FINRA (Feb. 5, 2025)</w:t>
      </w:r>
    </w:p>
    <w:p w14:paraId="7056594B" w14:textId="35D7CC61" w:rsidR="00432B36" w:rsidRDefault="002A653A" w:rsidP="00432B36">
      <w:pPr>
        <w:spacing w:after="180" w:line="240" w:lineRule="auto"/>
        <w:rPr>
          <w:rFonts w:ascii="Open Sans" w:eastAsia="Calibri" w:hAnsi="Open Sans" w:cs="Open Sans"/>
          <w:kern w:val="2"/>
          <w14:ligatures w14:val="standardContextual"/>
        </w:rPr>
      </w:pPr>
      <w:hyperlink r:id="rId25" w:history="1">
        <w:r w:rsidR="00432B36" w:rsidRPr="00432B36">
          <w:rPr>
            <w:rStyle w:val="Hyperlink"/>
            <w:rFonts w:ascii="Open Sans" w:eastAsia="Calibri" w:hAnsi="Open Sans" w:cs="Open Sans"/>
            <w:kern w:val="2"/>
            <w14:ligatures w14:val="standardContextual"/>
          </w:rPr>
          <w:t>Regulatory Notice 25-07</w:t>
        </w:r>
      </w:hyperlink>
      <w:r w:rsidR="00432B36">
        <w:rPr>
          <w:rFonts w:ascii="Open Sans" w:eastAsia="Calibri" w:hAnsi="Open Sans" w:cs="Open Sans"/>
          <w:kern w:val="2"/>
          <w14:ligatures w14:val="standardContextual"/>
        </w:rPr>
        <w:t xml:space="preserve"> (April 14, 2025) </w:t>
      </w:r>
      <w:r w:rsidR="00432B36" w:rsidRPr="00432B36">
        <w:rPr>
          <w:rFonts w:ascii="Open Sans" w:eastAsia="Calibri" w:hAnsi="Open Sans" w:cs="Open Sans"/>
          <w:kern w:val="2"/>
          <w14:ligatures w14:val="standardContextual"/>
        </w:rPr>
        <w:t>FINRA Requests Comment on Modernizing FINRA Rules, Guidance and Processes for the Organization and Operation of Member Workplaces</w:t>
      </w:r>
    </w:p>
    <w:p w14:paraId="2031F83F" w14:textId="108B0FB7" w:rsidR="00432B36" w:rsidRDefault="002A653A" w:rsidP="00432B36">
      <w:pPr>
        <w:spacing w:after="180" w:line="240" w:lineRule="auto"/>
        <w:rPr>
          <w:rFonts w:ascii="Open Sans" w:eastAsia="Calibri" w:hAnsi="Open Sans" w:cs="Open Sans"/>
          <w:kern w:val="2"/>
          <w14:ligatures w14:val="standardContextual"/>
        </w:rPr>
      </w:pPr>
      <w:hyperlink r:id="rId26" w:history="1">
        <w:r w:rsidR="00D324DB" w:rsidRPr="00D324DB">
          <w:rPr>
            <w:rStyle w:val="Hyperlink"/>
            <w:rFonts w:ascii="Open Sans" w:eastAsia="Calibri" w:hAnsi="Open Sans" w:cs="Open Sans"/>
            <w:kern w:val="2"/>
            <w14:ligatures w14:val="standardContextual"/>
          </w:rPr>
          <w:t>Regulatory Notice 25-06</w:t>
        </w:r>
      </w:hyperlink>
      <w:r w:rsidR="00D324DB">
        <w:rPr>
          <w:rFonts w:ascii="Open Sans" w:eastAsia="Calibri" w:hAnsi="Open Sans" w:cs="Open Sans"/>
          <w:kern w:val="2"/>
          <w14:ligatures w14:val="standardContextual"/>
        </w:rPr>
        <w:t xml:space="preserve"> (March 20, 2025) </w:t>
      </w:r>
      <w:r w:rsidR="00432B36" w:rsidRPr="00432B36">
        <w:rPr>
          <w:rFonts w:ascii="Open Sans" w:eastAsia="Calibri" w:hAnsi="Open Sans" w:cs="Open Sans"/>
          <w:kern w:val="2"/>
          <w14:ligatures w14:val="standardContextual"/>
        </w:rPr>
        <w:t>FINRA Requests Comment on Modernizing FINRA Rules, Guidance and Processes to Facilitate Capital Formation</w:t>
      </w:r>
    </w:p>
    <w:p w14:paraId="44C8FC60" w14:textId="688E4E41" w:rsidR="00D324DB" w:rsidRDefault="002A653A" w:rsidP="00432B36">
      <w:pPr>
        <w:spacing w:after="180" w:line="240" w:lineRule="auto"/>
        <w:rPr>
          <w:rFonts w:ascii="Open Sans" w:eastAsia="Calibri" w:hAnsi="Open Sans" w:cs="Open Sans"/>
          <w:kern w:val="2"/>
          <w14:ligatures w14:val="standardContextual"/>
        </w:rPr>
      </w:pPr>
      <w:hyperlink r:id="rId27" w:history="1">
        <w:r w:rsidR="00D324DB" w:rsidRPr="00D324DB">
          <w:rPr>
            <w:rStyle w:val="Hyperlink"/>
            <w:rFonts w:ascii="Open Sans" w:eastAsia="Calibri" w:hAnsi="Open Sans" w:cs="Open Sans"/>
            <w:kern w:val="2"/>
            <w14:ligatures w14:val="standardContextual"/>
          </w:rPr>
          <w:t>Regulatory Notice 25-05</w:t>
        </w:r>
      </w:hyperlink>
      <w:r w:rsidR="00D324DB">
        <w:rPr>
          <w:rFonts w:ascii="Open Sans" w:eastAsia="Calibri" w:hAnsi="Open Sans" w:cs="Open Sans"/>
          <w:kern w:val="2"/>
          <w14:ligatures w14:val="standardContextual"/>
        </w:rPr>
        <w:t xml:space="preserve"> (March 14, 2025) </w:t>
      </w:r>
      <w:r w:rsidR="00D324DB" w:rsidRPr="00D324DB">
        <w:rPr>
          <w:rFonts w:ascii="Open Sans" w:eastAsia="Calibri" w:hAnsi="Open Sans" w:cs="Open Sans"/>
          <w:kern w:val="2"/>
          <w14:ligatures w14:val="standardContextual"/>
        </w:rPr>
        <w:t>FINRA Requests Comment on a Proposal to Reduce Unnecessary Burdens and Simplify Requirements Regarding Associated Persons’ Outside Activities</w:t>
      </w:r>
    </w:p>
    <w:p w14:paraId="2B0A9365" w14:textId="1BB05047" w:rsidR="00D324DB" w:rsidRDefault="002A653A" w:rsidP="00AA0696">
      <w:pPr>
        <w:spacing w:after="480" w:line="240" w:lineRule="auto"/>
        <w:rPr>
          <w:rFonts w:ascii="Open Sans" w:eastAsia="Calibri" w:hAnsi="Open Sans" w:cs="Open Sans"/>
          <w:kern w:val="2"/>
          <w14:ligatures w14:val="standardContextual"/>
        </w:rPr>
      </w:pPr>
      <w:hyperlink r:id="rId28" w:history="1">
        <w:r w:rsidR="00D324DB" w:rsidRPr="00D324DB">
          <w:rPr>
            <w:rStyle w:val="Hyperlink"/>
            <w:rFonts w:ascii="Open Sans" w:eastAsia="Calibri" w:hAnsi="Open Sans" w:cs="Open Sans"/>
            <w:kern w:val="2"/>
            <w14:ligatures w14:val="standardContextual"/>
          </w:rPr>
          <w:t>Regulatory Notice 25-04</w:t>
        </w:r>
      </w:hyperlink>
      <w:r w:rsidR="00D324DB">
        <w:rPr>
          <w:rFonts w:ascii="Open Sans" w:eastAsia="Calibri" w:hAnsi="Open Sans" w:cs="Open Sans"/>
          <w:kern w:val="2"/>
          <w14:ligatures w14:val="standardContextual"/>
        </w:rPr>
        <w:t xml:space="preserve"> (March 12, 2025) </w:t>
      </w:r>
      <w:r w:rsidR="00D324DB" w:rsidRPr="00D324DB">
        <w:rPr>
          <w:rFonts w:ascii="Open Sans" w:eastAsia="Calibri" w:hAnsi="Open Sans" w:cs="Open Sans"/>
          <w:kern w:val="2"/>
          <w14:ligatures w14:val="standardContextual"/>
        </w:rPr>
        <w:t>FINRA Launches Broad Review to Modernize Rules Regarding Member Firms and Associated Persons</w:t>
      </w:r>
    </w:p>
    <w:p w14:paraId="7A3C6994" w14:textId="77777777" w:rsidR="009D02A4" w:rsidRDefault="002A653A" w:rsidP="00B64247">
      <w:pPr>
        <w:pStyle w:val="NoSpacing"/>
        <w:spacing w:after="180"/>
        <w:rPr>
          <w:rStyle w:val="Hyperlink"/>
          <w:rFonts w:ascii="Open Sans" w:eastAsiaTheme="minorEastAsia" w:hAnsi="Open Sans" w:cs="Open Sans"/>
        </w:rPr>
      </w:pPr>
      <w:hyperlink r:id="rId29" w:history="1">
        <w:r w:rsidR="009D02A4" w:rsidRPr="00094DF4">
          <w:rPr>
            <w:rStyle w:val="Hyperlink"/>
            <w:rFonts w:ascii="Open Sans" w:eastAsiaTheme="minorEastAsia" w:hAnsi="Open Sans" w:cs="Open Sans"/>
          </w:rPr>
          <w:t>New to the Municipal Bond Market?</w:t>
        </w:r>
      </w:hyperlink>
    </w:p>
    <w:p w14:paraId="7AAB4E9E" w14:textId="77777777" w:rsidR="009D02A4" w:rsidRDefault="002A653A" w:rsidP="00AA0696">
      <w:pPr>
        <w:spacing w:after="180" w:line="240" w:lineRule="auto"/>
      </w:pPr>
      <w:hyperlink r:id="rId30" w:history="1">
        <w:r w:rsidR="009D02A4" w:rsidRPr="00094DF4">
          <w:rPr>
            <w:rStyle w:val="Hyperlink"/>
            <w:rFonts w:ascii="Open Sans" w:eastAsiaTheme="minorEastAsia" w:hAnsi="Open Sans" w:cs="Open Sans"/>
          </w:rPr>
          <w:t>Q1 2025 Municipal Market Summary</w:t>
        </w:r>
      </w:hyperlink>
      <w:r w:rsidR="009D02A4" w:rsidRPr="00C71B7F">
        <w:rPr>
          <w:rStyle w:val="Hyperlink"/>
          <w:rFonts w:ascii="Open Sans" w:eastAsiaTheme="minorEastAsia" w:hAnsi="Open Sans" w:cs="Open Sans"/>
          <w:color w:val="auto"/>
          <w:u w:val="none"/>
        </w:rPr>
        <w:t xml:space="preserve">, </w:t>
      </w:r>
      <w:hyperlink r:id="rId31" w:history="1">
        <w:r w:rsidR="009D02A4" w:rsidRPr="0006302F">
          <w:rPr>
            <w:rStyle w:val="Hyperlink"/>
            <w:rFonts w:ascii="Open Sans" w:eastAsiaTheme="minorEastAsia" w:hAnsi="Open Sans" w:cs="Open Sans"/>
          </w:rPr>
          <w:t>MSRB 2024 Fact Book</w:t>
        </w:r>
      </w:hyperlink>
      <w:r w:rsidR="009D02A4" w:rsidRPr="0006302F">
        <w:rPr>
          <w:rFonts w:ascii="Open Sans" w:hAnsi="Open Sans" w:cs="Open Sans"/>
        </w:rPr>
        <w:t xml:space="preserve"> </w:t>
      </w:r>
      <w:r w:rsidR="009D02A4" w:rsidRPr="0006302F">
        <w:rPr>
          <w:rFonts w:ascii="Open Sans" w:eastAsia="Calibri" w:hAnsi="Open Sans" w:cs="Open Sans"/>
        </w:rPr>
        <w:t xml:space="preserve">and </w:t>
      </w:r>
      <w:hyperlink r:id="rId32" w:history="1">
        <w:r w:rsidR="009D02A4" w:rsidRPr="0006302F">
          <w:rPr>
            <w:rStyle w:val="Hyperlink"/>
            <w:rFonts w:ascii="Open Sans" w:eastAsiaTheme="minorEastAsia" w:hAnsi="Open Sans" w:cs="Open Sans"/>
          </w:rPr>
          <w:t>MSRB 2024 Municipal Market Year in Review</w:t>
        </w:r>
      </w:hyperlink>
    </w:p>
    <w:p w14:paraId="18F40D58" w14:textId="77777777" w:rsidR="009D02A4" w:rsidRDefault="002A653A" w:rsidP="00AA0696">
      <w:pPr>
        <w:spacing w:after="180" w:line="240" w:lineRule="auto"/>
        <w:rPr>
          <w:rFonts w:ascii="Open Sans" w:eastAsiaTheme="minorEastAsia" w:hAnsi="Open Sans" w:cs="Open Sans"/>
        </w:rPr>
      </w:pPr>
      <w:hyperlink r:id="rId33" w:history="1">
        <w:r w:rsidR="009D02A4" w:rsidRPr="00094DF4">
          <w:rPr>
            <w:rStyle w:val="Hyperlink"/>
            <w:rFonts w:ascii="Open Sans" w:eastAsiaTheme="minorEastAsia" w:hAnsi="Open Sans" w:cs="Open Sans"/>
          </w:rPr>
          <w:t>MSRB Notice 2024-12 (Sep</w:t>
        </w:r>
        <w:r w:rsidR="009D02A4">
          <w:rPr>
            <w:rStyle w:val="Hyperlink"/>
            <w:rFonts w:ascii="Open Sans" w:eastAsiaTheme="minorEastAsia" w:hAnsi="Open Sans" w:cs="Open Sans"/>
          </w:rPr>
          <w:t>.</w:t>
        </w:r>
        <w:r w:rsidR="009D02A4" w:rsidRPr="00094DF4">
          <w:rPr>
            <w:rStyle w:val="Hyperlink"/>
            <w:rFonts w:ascii="Open Sans" w:eastAsiaTheme="minorEastAsia" w:hAnsi="Open Sans" w:cs="Open Sans"/>
          </w:rPr>
          <w:t xml:space="preserve"> 20, 2024)</w:t>
        </w:r>
      </w:hyperlink>
      <w:r w:rsidR="009D02A4">
        <w:rPr>
          <w:rStyle w:val="Hyperlink"/>
          <w:rFonts w:ascii="Open Sans" w:eastAsiaTheme="minorEastAsia" w:hAnsi="Open Sans" w:cs="Open Sans"/>
        </w:rPr>
        <w:t xml:space="preserve"> and </w:t>
      </w:r>
      <w:hyperlink r:id="rId34" w:history="1">
        <w:r w:rsidR="009D02A4" w:rsidRPr="0006302F">
          <w:rPr>
            <w:rStyle w:val="Hyperlink"/>
            <w:rFonts w:ascii="Open Sans" w:eastAsiaTheme="minorEastAsia" w:hAnsi="Open Sans" w:cs="Open Sans"/>
          </w:rPr>
          <w:t>MSRB Notice 2025-04</w:t>
        </w:r>
      </w:hyperlink>
      <w:r w:rsidR="009D02A4" w:rsidRPr="0006302F">
        <w:rPr>
          <w:rFonts w:ascii="Open Sans" w:eastAsiaTheme="minorEastAsia" w:hAnsi="Open Sans" w:cs="Open Sans"/>
        </w:rPr>
        <w:t xml:space="preserve"> (Feb. 5, 2025)</w:t>
      </w:r>
      <w:r w:rsidR="009D02A4">
        <w:rPr>
          <w:rFonts w:ascii="Open Sans" w:eastAsiaTheme="minorEastAsia" w:hAnsi="Open Sans" w:cs="Open Sans"/>
        </w:rPr>
        <w:t xml:space="preserve"> on amendments to G-14 One Minute Reporting Requirements</w:t>
      </w:r>
    </w:p>
    <w:p w14:paraId="65B0ABE1" w14:textId="53A433F1" w:rsidR="009D02A4" w:rsidRPr="0006302F" w:rsidRDefault="002A653A" w:rsidP="00AA0696">
      <w:pPr>
        <w:spacing w:after="180" w:line="240" w:lineRule="auto"/>
        <w:rPr>
          <w:rFonts w:ascii="Open Sans" w:eastAsiaTheme="minorEastAsia" w:hAnsi="Open Sans" w:cs="Open Sans"/>
        </w:rPr>
      </w:pPr>
      <w:hyperlink r:id="rId35" w:history="1">
        <w:r w:rsidR="009D02A4" w:rsidRPr="004321C1">
          <w:rPr>
            <w:rStyle w:val="Hyperlink"/>
            <w:rFonts w:ascii="Open Sans" w:eastAsiaTheme="minorEastAsia" w:hAnsi="Open Sans" w:cs="Open Sans"/>
          </w:rPr>
          <w:t>MSRB Notice 2024-08</w:t>
        </w:r>
      </w:hyperlink>
      <w:r w:rsidR="009D02A4">
        <w:rPr>
          <w:rFonts w:ascii="Open Sans" w:eastAsiaTheme="minorEastAsia" w:hAnsi="Open Sans" w:cs="Open Sans"/>
        </w:rPr>
        <w:t xml:space="preserve"> (May 31, 2024) on amendments to Rule G-</w:t>
      </w:r>
      <w:r w:rsidR="00F8527A">
        <w:rPr>
          <w:rFonts w:ascii="Open Sans" w:eastAsiaTheme="minorEastAsia" w:hAnsi="Open Sans" w:cs="Open Sans"/>
        </w:rPr>
        <w:t>2</w:t>
      </w:r>
      <w:r w:rsidR="009D02A4">
        <w:rPr>
          <w:rFonts w:ascii="Open Sans" w:eastAsiaTheme="minorEastAsia" w:hAnsi="Open Sans" w:cs="Open Sans"/>
        </w:rPr>
        <w:t>7 to allow dealers to conduct remote inspections, consistent with FINRA</w:t>
      </w:r>
    </w:p>
    <w:p w14:paraId="45BEB872" w14:textId="77777777" w:rsidR="009D02A4" w:rsidRDefault="002A653A" w:rsidP="00AA0696">
      <w:pPr>
        <w:spacing w:after="180" w:line="240" w:lineRule="auto"/>
        <w:rPr>
          <w:rFonts w:ascii="Open Sans" w:eastAsiaTheme="minorEastAsia" w:hAnsi="Open Sans" w:cs="Open Sans"/>
        </w:rPr>
      </w:pPr>
      <w:hyperlink r:id="rId36" w:history="1">
        <w:r w:rsidR="009D02A4" w:rsidRPr="0006302F">
          <w:rPr>
            <w:rStyle w:val="Hyperlink"/>
            <w:rFonts w:ascii="Open Sans" w:eastAsiaTheme="minorEastAsia" w:hAnsi="Open Sans" w:cs="Open Sans"/>
          </w:rPr>
          <w:t>MSRB Compliance Resource</w:t>
        </w:r>
      </w:hyperlink>
      <w:r w:rsidR="009D02A4" w:rsidRPr="0006302F">
        <w:rPr>
          <w:rFonts w:ascii="Open Sans" w:eastAsiaTheme="minorEastAsia" w:hAnsi="Open Sans" w:cs="Open Sans"/>
        </w:rPr>
        <w:t xml:space="preserve"> Supervisory Responsibilities of Qualified Principals</w:t>
      </w:r>
    </w:p>
    <w:p w14:paraId="40B6C1DC" w14:textId="77777777" w:rsidR="009D02A4" w:rsidRDefault="009D02A4" w:rsidP="00AA0696">
      <w:pPr>
        <w:spacing w:after="180" w:line="240" w:lineRule="auto"/>
        <w:rPr>
          <w:rFonts w:ascii="Open Sans" w:eastAsiaTheme="minorEastAsia" w:hAnsi="Open Sans" w:cs="Open Sans"/>
        </w:rPr>
      </w:pPr>
      <w:r>
        <w:rPr>
          <w:rFonts w:ascii="Open Sans" w:eastAsiaTheme="minorEastAsia" w:hAnsi="Open Sans" w:cs="Open Sans"/>
        </w:rPr>
        <w:t>Recent MSRB Research Publications</w:t>
      </w:r>
    </w:p>
    <w:p w14:paraId="3E37E399" w14:textId="77777777" w:rsidR="009D02A4" w:rsidRDefault="002A653A" w:rsidP="00AA0696">
      <w:pPr>
        <w:pStyle w:val="NoSpacing"/>
        <w:spacing w:after="180"/>
        <w:ind w:left="360"/>
        <w:rPr>
          <w:rFonts w:ascii="Open Sans" w:eastAsiaTheme="minorEastAsia" w:hAnsi="Open Sans" w:cs="Open Sans"/>
        </w:rPr>
      </w:pPr>
      <w:hyperlink r:id="rId37" w:history="1">
        <w:r w:rsidR="009D02A4" w:rsidRPr="008F35C2">
          <w:rPr>
            <w:rStyle w:val="Hyperlink"/>
            <w:rFonts w:ascii="Open Sans" w:eastAsiaTheme="minorEastAsia" w:hAnsi="Open Sans" w:cs="Open Sans"/>
          </w:rPr>
          <w:t>Convergence of Individual and Institutional Trading Dynamics in Small Size Trades (Feb</w:t>
        </w:r>
        <w:r w:rsidR="009D02A4">
          <w:rPr>
            <w:rStyle w:val="Hyperlink"/>
            <w:rFonts w:ascii="Open Sans" w:eastAsiaTheme="minorEastAsia" w:hAnsi="Open Sans" w:cs="Open Sans"/>
          </w:rPr>
          <w:t>.</w:t>
        </w:r>
        <w:r w:rsidR="009D02A4" w:rsidRPr="008F35C2">
          <w:rPr>
            <w:rStyle w:val="Hyperlink"/>
            <w:rFonts w:ascii="Open Sans" w:eastAsiaTheme="minorEastAsia" w:hAnsi="Open Sans" w:cs="Open Sans"/>
          </w:rPr>
          <w:t xml:space="preserve"> 2025)</w:t>
        </w:r>
      </w:hyperlink>
    </w:p>
    <w:p w14:paraId="012333C9" w14:textId="77777777" w:rsidR="009D02A4" w:rsidRDefault="002A653A" w:rsidP="00AA0696">
      <w:pPr>
        <w:pStyle w:val="NoSpacing"/>
        <w:spacing w:after="180"/>
        <w:ind w:left="360"/>
        <w:rPr>
          <w:rFonts w:ascii="Open Sans" w:eastAsiaTheme="minorEastAsia" w:hAnsi="Open Sans" w:cs="Open Sans"/>
        </w:rPr>
      </w:pPr>
      <w:hyperlink r:id="rId38" w:history="1">
        <w:r w:rsidR="009D02A4" w:rsidRPr="008F35C2">
          <w:rPr>
            <w:rStyle w:val="Hyperlink"/>
            <w:rFonts w:ascii="Open Sans" w:eastAsiaTheme="minorEastAsia" w:hAnsi="Open Sans" w:cs="Open Sans"/>
          </w:rPr>
          <w:t>What Drives Trading Volume in the Municipal Securities Market?</w:t>
        </w:r>
      </w:hyperlink>
      <w:r w:rsidR="009D02A4">
        <w:rPr>
          <w:rFonts w:ascii="Open Sans" w:eastAsiaTheme="minorEastAsia" w:hAnsi="Open Sans" w:cs="Open Sans"/>
        </w:rPr>
        <w:t xml:space="preserve"> (Feb. 2025)</w:t>
      </w:r>
    </w:p>
    <w:p w14:paraId="3E865945" w14:textId="77777777" w:rsidR="009D02A4" w:rsidRDefault="002A653A" w:rsidP="00AA0696">
      <w:pPr>
        <w:pStyle w:val="NoSpacing"/>
        <w:spacing w:after="480"/>
        <w:ind w:left="360"/>
        <w:rPr>
          <w:rFonts w:ascii="Open Sans" w:eastAsiaTheme="minorEastAsia" w:hAnsi="Open Sans" w:cs="Open Sans"/>
        </w:rPr>
      </w:pPr>
      <w:hyperlink r:id="rId39" w:history="1">
        <w:r w:rsidR="009D02A4" w:rsidRPr="008F35C2">
          <w:rPr>
            <w:rStyle w:val="Hyperlink"/>
            <w:rFonts w:ascii="Open Sans" w:eastAsiaTheme="minorEastAsia" w:hAnsi="Open Sans" w:cs="Open Sans"/>
          </w:rPr>
          <w:t>A Comparison of Transaction Costs for Municipal Securities and Other Fixed-Income Securities</w:t>
        </w:r>
      </w:hyperlink>
      <w:r w:rsidR="009D02A4">
        <w:rPr>
          <w:rFonts w:ascii="Open Sans" w:eastAsiaTheme="minorEastAsia" w:hAnsi="Open Sans" w:cs="Open Sans"/>
        </w:rPr>
        <w:t xml:space="preserve"> (Mar. 2025)</w:t>
      </w:r>
    </w:p>
    <w:p w14:paraId="64B9B0FF" w14:textId="1C338E30" w:rsidR="005A115F" w:rsidRPr="0006302F" w:rsidRDefault="002A653A" w:rsidP="006753B3">
      <w:pPr>
        <w:spacing w:after="180" w:line="240" w:lineRule="auto"/>
        <w:rPr>
          <w:rStyle w:val="Hyperlink"/>
          <w:rFonts w:ascii="Open Sans" w:eastAsia="MS Mincho" w:hAnsi="Open Sans" w:cs="Open Sans"/>
          <w:kern w:val="2"/>
          <w14:ligatures w14:val="standardContextual"/>
        </w:rPr>
      </w:pPr>
      <w:hyperlink r:id="rId40" w:history="1">
        <w:r w:rsidR="005A115F" w:rsidRP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NASAA Enforcement Report (2024 Edition)</w:t>
        </w:r>
      </w:hyperlink>
    </w:p>
    <w:p w14:paraId="77731F26" w14:textId="043CD2B3" w:rsidR="005A115F" w:rsidRDefault="002A653A" w:rsidP="006753B3">
      <w:pPr>
        <w:spacing w:after="180" w:line="240" w:lineRule="auto"/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</w:pPr>
      <w:hyperlink r:id="rId41" w:history="1">
        <w:r w:rsid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NASAA Model Rule on Dishonest and Unethical Business Practices of Broker-Dealers and Agents</w:t>
        </w:r>
      </w:hyperlink>
      <w:r w:rsidR="005A115F"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 xml:space="preserve"> (March 25, 2025)</w:t>
      </w:r>
    </w:p>
    <w:p w14:paraId="0C3CC541" w14:textId="38CDFAAC" w:rsidR="005A115F" w:rsidRDefault="002A653A" w:rsidP="005A115F">
      <w:pPr>
        <w:spacing w:after="180" w:line="240" w:lineRule="auto"/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</w:pPr>
      <w:hyperlink r:id="rId42" w:history="1">
        <w:r w:rsidR="005A115F" w:rsidRP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NASAA Request for Public Comment</w:t>
        </w:r>
      </w:hyperlink>
      <w:r w:rsidR="005A115F"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 xml:space="preserve"> on </w:t>
      </w:r>
      <w:r w:rsidR="005A115F" w:rsidRPr="005A115F"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>P</w:t>
      </w:r>
      <w:r w:rsidR="005A115F"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>roposed</w:t>
      </w:r>
      <w:r w:rsidR="005A115F" w:rsidRPr="005A115F"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 xml:space="preserve"> A</w:t>
      </w:r>
      <w:r w:rsidR="005A115F"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>mendments</w:t>
      </w:r>
      <w:r w:rsidR="005A115F" w:rsidRPr="005A115F"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 xml:space="preserve"> </w:t>
      </w:r>
      <w:r w:rsidR="005A115F"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 xml:space="preserve">to the </w:t>
      </w:r>
      <w:r w:rsidR="005A115F" w:rsidRPr="005A115F"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>NASAA S</w:t>
      </w:r>
      <w:r w:rsidR="005A115F"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>tatement of Policy Regarding Real Estate Investment Trusts</w:t>
      </w:r>
    </w:p>
    <w:p w14:paraId="047416CB" w14:textId="44B99046" w:rsidR="005A115F" w:rsidRDefault="005A115F" w:rsidP="005A115F">
      <w:pPr>
        <w:spacing w:after="180" w:line="240" w:lineRule="auto"/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</w:pPr>
      <w:r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 xml:space="preserve">Recent Multi-State Settlements: </w:t>
      </w:r>
      <w:hyperlink r:id="rId43" w:history="1">
        <w:r w:rsidRP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Edward Jones</w:t>
        </w:r>
      </w:hyperlink>
      <w:r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 xml:space="preserve"> (Jan. 8, 2025) and </w:t>
      </w:r>
      <w:hyperlink r:id="rId44" w:history="1">
        <w:r w:rsidRP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Vanguard</w:t>
        </w:r>
      </w:hyperlink>
      <w:r>
        <w:rPr>
          <w:rStyle w:val="Hyperlink"/>
          <w:rFonts w:ascii="Open Sans" w:eastAsia="MS Mincho" w:hAnsi="Open Sans" w:cs="Open Sans"/>
          <w:color w:val="auto"/>
          <w:kern w:val="2"/>
          <w:u w:val="none"/>
          <w14:ligatures w14:val="standardContextual"/>
        </w:rPr>
        <w:t xml:space="preserve"> (Jan. 17, 2025)</w:t>
      </w:r>
    </w:p>
    <w:p w14:paraId="33A3531A" w14:textId="1E3439F6" w:rsidR="005A115F" w:rsidRPr="005A115F" w:rsidRDefault="005A115F" w:rsidP="005A115F">
      <w:pPr>
        <w:spacing w:after="180" w:line="240" w:lineRule="auto"/>
        <w:rPr>
          <w:rFonts w:ascii="Open Sans" w:eastAsia="MS Mincho" w:hAnsi="Open Sans" w:cs="Open Sans"/>
          <w:kern w:val="2"/>
          <w14:ligatures w14:val="standardContextual"/>
        </w:rPr>
      </w:pPr>
      <w:r>
        <w:rPr>
          <w:rFonts w:ascii="Open Sans" w:eastAsia="MS Mincho" w:hAnsi="Open Sans" w:cs="Open Sans"/>
          <w:kern w:val="2"/>
          <w14:ligatures w14:val="standardContextual"/>
        </w:rPr>
        <w:t>State a</w:t>
      </w:r>
      <w:r w:rsidRPr="005A115F">
        <w:rPr>
          <w:rFonts w:ascii="Open Sans" w:eastAsia="MS Mincho" w:hAnsi="Open Sans" w:cs="Open Sans"/>
          <w:kern w:val="2"/>
          <w14:ligatures w14:val="standardContextual"/>
        </w:rPr>
        <w:t>dvisories and related materials on the use by state-registered investment advisers of third parties to access held away accounts</w:t>
      </w:r>
      <w:r w:rsidR="00201530">
        <w:rPr>
          <w:rFonts w:ascii="Open Sans" w:eastAsia="MS Mincho" w:hAnsi="Open Sans" w:cs="Open Sans"/>
          <w:kern w:val="2"/>
          <w14:ligatures w14:val="standardContextual"/>
        </w:rPr>
        <w:t>:</w:t>
      </w:r>
    </w:p>
    <w:p w14:paraId="77C85EAC" w14:textId="77777777" w:rsidR="005A115F" w:rsidRPr="005A115F" w:rsidRDefault="002A653A" w:rsidP="005A115F">
      <w:pPr>
        <w:spacing w:after="180" w:line="240" w:lineRule="auto"/>
        <w:ind w:left="360"/>
        <w:rPr>
          <w:rFonts w:ascii="Open Sans" w:eastAsia="MS Mincho" w:hAnsi="Open Sans" w:cs="Open Sans"/>
          <w:kern w:val="2"/>
          <w14:ligatures w14:val="standardContextual"/>
        </w:rPr>
      </w:pPr>
      <w:hyperlink r:id="rId45" w:history="1">
        <w:r w:rsidR="005A115F" w:rsidRP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Michigan [michigan.gov]</w:t>
        </w:r>
      </w:hyperlink>
    </w:p>
    <w:p w14:paraId="5CE4ED6F" w14:textId="77777777" w:rsidR="005A115F" w:rsidRPr="005A115F" w:rsidRDefault="002A653A" w:rsidP="005A115F">
      <w:pPr>
        <w:spacing w:after="180" w:line="240" w:lineRule="auto"/>
        <w:ind w:left="360"/>
        <w:rPr>
          <w:rFonts w:ascii="Open Sans" w:eastAsia="MS Mincho" w:hAnsi="Open Sans" w:cs="Open Sans"/>
          <w:kern w:val="2"/>
          <w14:ligatures w14:val="standardContextual"/>
        </w:rPr>
      </w:pPr>
      <w:hyperlink r:id="rId46" w:history="1">
        <w:r w:rsidR="005A115F" w:rsidRP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New Jersey [njconsumeraffairs.gov]</w:t>
        </w:r>
      </w:hyperlink>
    </w:p>
    <w:p w14:paraId="5575AC64" w14:textId="77777777" w:rsidR="005A115F" w:rsidRPr="005A115F" w:rsidRDefault="002A653A" w:rsidP="005A115F">
      <w:pPr>
        <w:spacing w:after="180" w:line="240" w:lineRule="auto"/>
        <w:ind w:left="360"/>
        <w:rPr>
          <w:rFonts w:ascii="Open Sans" w:eastAsia="MS Mincho" w:hAnsi="Open Sans" w:cs="Open Sans"/>
          <w:kern w:val="2"/>
          <w14:ligatures w14:val="standardContextual"/>
        </w:rPr>
      </w:pPr>
      <w:hyperlink r:id="rId47" w:history="1">
        <w:r w:rsidR="005A115F" w:rsidRP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Ohio [com.ohio.gov]</w:t>
        </w:r>
      </w:hyperlink>
    </w:p>
    <w:p w14:paraId="1E6355D7" w14:textId="77777777" w:rsidR="005A115F" w:rsidRPr="005A115F" w:rsidRDefault="002A653A" w:rsidP="005A115F">
      <w:pPr>
        <w:spacing w:after="180" w:line="240" w:lineRule="auto"/>
        <w:ind w:left="360"/>
        <w:rPr>
          <w:rFonts w:ascii="Open Sans" w:eastAsia="MS Mincho" w:hAnsi="Open Sans" w:cs="Open Sans"/>
          <w:kern w:val="2"/>
          <w14:ligatures w14:val="standardContextual"/>
        </w:rPr>
      </w:pPr>
      <w:hyperlink r:id="rId48" w:history="1">
        <w:r w:rsidR="005A115F" w:rsidRP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Vermont [dfr.vermont.gov]</w:t>
        </w:r>
      </w:hyperlink>
    </w:p>
    <w:p w14:paraId="63E0E6F4" w14:textId="77777777" w:rsidR="005A115F" w:rsidRPr="005A115F" w:rsidRDefault="002A653A" w:rsidP="005A115F">
      <w:pPr>
        <w:spacing w:after="180" w:line="240" w:lineRule="auto"/>
        <w:ind w:left="360"/>
        <w:rPr>
          <w:rFonts w:ascii="Open Sans" w:eastAsia="MS Mincho" w:hAnsi="Open Sans" w:cs="Open Sans"/>
          <w:kern w:val="2"/>
          <w14:ligatures w14:val="standardContextual"/>
        </w:rPr>
      </w:pPr>
      <w:hyperlink r:id="rId49" w:history="1">
        <w:r w:rsidR="005A115F" w:rsidRP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Nebraska [makecentsmakesense.nebraska.gov]</w:t>
        </w:r>
      </w:hyperlink>
    </w:p>
    <w:p w14:paraId="46091447" w14:textId="77777777" w:rsidR="005A115F" w:rsidRPr="005A115F" w:rsidRDefault="002A653A" w:rsidP="005A115F">
      <w:pPr>
        <w:spacing w:after="180" w:line="240" w:lineRule="auto"/>
        <w:ind w:left="360"/>
        <w:rPr>
          <w:rFonts w:ascii="Open Sans" w:eastAsia="MS Mincho" w:hAnsi="Open Sans" w:cs="Open Sans"/>
          <w:kern w:val="2"/>
          <w14:ligatures w14:val="standardContextual"/>
        </w:rPr>
      </w:pPr>
      <w:hyperlink r:id="rId50" w:history="1">
        <w:r w:rsidR="005A115F" w:rsidRPr="005A115F">
          <w:rPr>
            <w:rStyle w:val="Hyperlink"/>
            <w:rFonts w:ascii="Open Sans" w:eastAsia="MS Mincho" w:hAnsi="Open Sans" w:cs="Open Sans"/>
            <w:kern w:val="2"/>
            <w14:ligatures w14:val="standardContextual"/>
          </w:rPr>
          <w:t>Washington [dfi.wa.gov]</w:t>
        </w:r>
      </w:hyperlink>
    </w:p>
    <w:p w14:paraId="0B0DE3EC" w14:textId="16A29592" w:rsidR="00E730F4" w:rsidRPr="0006302F" w:rsidRDefault="00E730F4" w:rsidP="006753B3">
      <w:pPr>
        <w:spacing w:after="180" w:line="240" w:lineRule="auto"/>
        <w:rPr>
          <w:rFonts w:ascii="Open Sans" w:hAnsi="Open Sans" w:cs="Open Sans"/>
        </w:rPr>
      </w:pPr>
    </w:p>
    <w:sectPr w:rsidR="00E730F4" w:rsidRPr="0006302F">
      <w:footerReference w:type="defaul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C741" w14:textId="77777777" w:rsidR="002A653A" w:rsidRDefault="002A653A" w:rsidP="007F556E">
      <w:pPr>
        <w:spacing w:after="0" w:line="240" w:lineRule="auto"/>
      </w:pPr>
      <w:r>
        <w:separator/>
      </w:r>
    </w:p>
  </w:endnote>
  <w:endnote w:type="continuationSeparator" w:id="0">
    <w:p w14:paraId="6E135A3A" w14:textId="77777777" w:rsidR="002A653A" w:rsidRDefault="002A653A" w:rsidP="007F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51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E21FA" w14:textId="2CEC93C3" w:rsidR="00295047" w:rsidRDefault="002950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99E89" w14:textId="77777777" w:rsidR="00295047" w:rsidRDefault="00295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14CB" w14:textId="77777777" w:rsidR="002A653A" w:rsidRDefault="002A653A" w:rsidP="007F556E">
      <w:pPr>
        <w:spacing w:after="0" w:line="240" w:lineRule="auto"/>
      </w:pPr>
      <w:r>
        <w:separator/>
      </w:r>
    </w:p>
  </w:footnote>
  <w:footnote w:type="continuationSeparator" w:id="0">
    <w:p w14:paraId="2BF79E19" w14:textId="77777777" w:rsidR="002A653A" w:rsidRDefault="002A653A" w:rsidP="007F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008"/>
    <w:multiLevelType w:val="hybridMultilevel"/>
    <w:tmpl w:val="8D2E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63B08"/>
    <w:multiLevelType w:val="hybridMultilevel"/>
    <w:tmpl w:val="AC62A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14236">
    <w:abstractNumId w:val="0"/>
  </w:num>
  <w:num w:numId="2" w16cid:durableId="1672638060">
    <w:abstractNumId w:val="0"/>
  </w:num>
  <w:num w:numId="3" w16cid:durableId="81225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A5"/>
    <w:rsid w:val="0006302F"/>
    <w:rsid w:val="00066D43"/>
    <w:rsid w:val="000F3B10"/>
    <w:rsid w:val="00150CB9"/>
    <w:rsid w:val="001D19D3"/>
    <w:rsid w:val="00201530"/>
    <w:rsid w:val="00241B08"/>
    <w:rsid w:val="002511EA"/>
    <w:rsid w:val="00295047"/>
    <w:rsid w:val="002A653A"/>
    <w:rsid w:val="00317653"/>
    <w:rsid w:val="003F6076"/>
    <w:rsid w:val="00426E74"/>
    <w:rsid w:val="00432B36"/>
    <w:rsid w:val="004A5E47"/>
    <w:rsid w:val="005007BD"/>
    <w:rsid w:val="00584544"/>
    <w:rsid w:val="005A115F"/>
    <w:rsid w:val="0065067A"/>
    <w:rsid w:val="006753B3"/>
    <w:rsid w:val="006A6644"/>
    <w:rsid w:val="006D6939"/>
    <w:rsid w:val="00701FD8"/>
    <w:rsid w:val="00712540"/>
    <w:rsid w:val="007413F7"/>
    <w:rsid w:val="007740B3"/>
    <w:rsid w:val="007C3481"/>
    <w:rsid w:val="007F556E"/>
    <w:rsid w:val="008F54D6"/>
    <w:rsid w:val="009000E8"/>
    <w:rsid w:val="009C4011"/>
    <w:rsid w:val="009D02A4"/>
    <w:rsid w:val="009D2F51"/>
    <w:rsid w:val="00A71D17"/>
    <w:rsid w:val="00A8338A"/>
    <w:rsid w:val="00A86B25"/>
    <w:rsid w:val="00AA0696"/>
    <w:rsid w:val="00AD79E6"/>
    <w:rsid w:val="00AF5520"/>
    <w:rsid w:val="00AF7F34"/>
    <w:rsid w:val="00B06E78"/>
    <w:rsid w:val="00B422A8"/>
    <w:rsid w:val="00B64247"/>
    <w:rsid w:val="00B71E73"/>
    <w:rsid w:val="00B81609"/>
    <w:rsid w:val="00B9112E"/>
    <w:rsid w:val="00BD3599"/>
    <w:rsid w:val="00BD5B11"/>
    <w:rsid w:val="00C14D3E"/>
    <w:rsid w:val="00C471F7"/>
    <w:rsid w:val="00C71B7F"/>
    <w:rsid w:val="00C73098"/>
    <w:rsid w:val="00C80D53"/>
    <w:rsid w:val="00CA6409"/>
    <w:rsid w:val="00CB1317"/>
    <w:rsid w:val="00CC0BB6"/>
    <w:rsid w:val="00CD5AB9"/>
    <w:rsid w:val="00CE0D18"/>
    <w:rsid w:val="00D324DB"/>
    <w:rsid w:val="00D543A5"/>
    <w:rsid w:val="00DB0B7F"/>
    <w:rsid w:val="00DF54CF"/>
    <w:rsid w:val="00E159C7"/>
    <w:rsid w:val="00E4310F"/>
    <w:rsid w:val="00E730F4"/>
    <w:rsid w:val="00E93FB0"/>
    <w:rsid w:val="00EF61F0"/>
    <w:rsid w:val="00F6709A"/>
    <w:rsid w:val="00F8527A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431"/>
  <w15:chartTrackingRefBased/>
  <w15:docId w15:val="{768A7461-9046-45A6-A338-30F10BA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3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7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1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6E"/>
  </w:style>
  <w:style w:type="paragraph" w:styleId="Footer">
    <w:name w:val="footer"/>
    <w:basedOn w:val="Normal"/>
    <w:link w:val="FooterChar"/>
    <w:uiPriority w:val="99"/>
    <w:unhideWhenUsed/>
    <w:rsid w:val="007F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6E"/>
  </w:style>
  <w:style w:type="paragraph" w:styleId="NoSpacing">
    <w:name w:val="No Spacing"/>
    <w:uiPriority w:val="1"/>
    <w:qFormat/>
    <w:rsid w:val="00712540"/>
    <w:pPr>
      <w:spacing w:after="0" w:line="240" w:lineRule="auto"/>
    </w:pPr>
    <w:rPr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A0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c.gov/files/risk-alert-broker-dealer-exam-planning.pdf" TargetMode="External"/><Relationship Id="rId18" Type="http://schemas.openxmlformats.org/officeDocument/2006/relationships/hyperlink" Target="https://www.finra.org/rules-guidance/guidance/reports/2025-finra-annual-regulatory-oversight-report/extended-hours-trading" TargetMode="External"/><Relationship Id="rId26" Type="http://schemas.openxmlformats.org/officeDocument/2006/relationships/hyperlink" Target="https://www.finra.org/sites/default/files/2025-03/regulatory-notice-25-06.pdf" TargetMode="External"/><Relationship Id="rId39" Type="http://schemas.openxmlformats.org/officeDocument/2006/relationships/hyperlink" Target="https://www.msrb.org/sites/default/files/2025-03/Comparison-of-Transaction-Costs.pdf" TargetMode="External"/><Relationship Id="rId21" Type="http://schemas.openxmlformats.org/officeDocument/2006/relationships/hyperlink" Target="https://www.finra.org/rules-guidance/guidance/reports/2025-finra-annual-regulatory-oversight-report/aml" TargetMode="External"/><Relationship Id="rId34" Type="http://schemas.openxmlformats.org/officeDocument/2006/relationships/hyperlink" Target="https://www.msrb.org/sites/default/files/2025-02/MSRB-Notice-2025-04.pdf" TargetMode="External"/><Relationship Id="rId42" Type="http://schemas.openxmlformats.org/officeDocument/2006/relationships/hyperlink" Target="https://www.nasaa.org/wp-content/uploads/2025/03/NASAA-Request-for-Public-Comment-REIT-Guidelines-Amendments-3-25-2025.pdf" TargetMode="External"/><Relationship Id="rId47" Type="http://schemas.openxmlformats.org/officeDocument/2006/relationships/hyperlink" Target="https://urldefense.com/v3/__https:/com.ohio.gov/divisions-and-programs/securities/bulletins/an-securities-bulletin-first-quarter-2025?utm_content=&amp;utm_medium=email&amp;utm_source=govdelivery__;!!MQQ7itY!OIkxtG1SJNK74u1Vo6UsPR0nieiQueTI-iFCnaqqYdbRauct0w8zd71oYRgKDGvKB3jAo47_LRoRCrI4UIE$" TargetMode="External"/><Relationship Id="rId50" Type="http://schemas.openxmlformats.org/officeDocument/2006/relationships/hyperlink" Target="https://urldefense.com/v3/__https:/dfi.wa.gov/industrynews/notice-regarding-use-third-party-platforms-manage-held-away-assets__;!!MQQ7itY!OIkxtG1SJNK74u1Vo6UsPR0nieiQueTI-iFCnaqqYdbRauct0w8zd71oYRgKDGvKB3jAo47_LRoRUsOtD2w$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nra.org/rules-guidance/guidance/reports/2025-finra-annual-regulatory-oversight-report" TargetMode="External"/><Relationship Id="rId29" Type="http://schemas.openxmlformats.org/officeDocument/2006/relationships/hyperlink" Target="https://www.msrb.org/New-Municipal-Bond-Market" TargetMode="External"/><Relationship Id="rId11" Type="http://schemas.openxmlformats.org/officeDocument/2006/relationships/hyperlink" Target="https://www.sec.gov/files/2025-exam-priorities.pdf" TargetMode="External"/><Relationship Id="rId24" Type="http://schemas.openxmlformats.org/officeDocument/2006/relationships/hyperlink" Target="https://www.finra.org/media-center/blog/updating-trace-reporting-timeframes" TargetMode="External"/><Relationship Id="rId32" Type="http://schemas.openxmlformats.org/officeDocument/2006/relationships/hyperlink" Target="https://www.msrb.org/sites/default/files/2025-01/MSRB-2024-Municipal-Market-Year-in-Review.pdf" TargetMode="External"/><Relationship Id="rId37" Type="http://schemas.openxmlformats.org/officeDocument/2006/relationships/hyperlink" Target="https://www.msrb.org/sites/default/files/2025-02/MSRB-Convergence-of-Individual-and-Institutional.pdf" TargetMode="External"/><Relationship Id="rId40" Type="http://schemas.openxmlformats.org/officeDocument/2006/relationships/hyperlink" Target="https://www.nasaa.org/wp-content/uploads/2024/10/FINAL_2024-Enforcement-Report.pdf" TargetMode="External"/><Relationship Id="rId45" Type="http://schemas.openxmlformats.org/officeDocument/2006/relationships/hyperlink" Target="https://urldefense.com/v3/__https:/www.michigan.gov/lara/-/media/Project/Websites/lara/cscl/NonImages_new/Securities/Investment-Adviser-Held-Away-Account-Access-Advisory-2025.pdf?rev=1cfecc52765a4269aa09812eb5e438be&amp;hash=B89720A569F99A882EBD550DEDE49628__;!!MQQ7itY!OIkxtG1SJNK74u1Vo6UsPR0nieiQueTI-iFCnaqqYdbRauct0w8zd71oYRgKDGvKB3jAo47_LRoRL-c7cFg$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finra.org/rules-guidance/guidance/reports/2025-finra-annual-regulatory-oversight-report/annuities" TargetMode="External"/><Relationship Id="rId31" Type="http://schemas.openxmlformats.org/officeDocument/2006/relationships/hyperlink" Target="https://www.msrb.org/sites/default/files/2025-02/MSRB-2024-FactBook_1.pdf" TargetMode="External"/><Relationship Id="rId44" Type="http://schemas.openxmlformats.org/officeDocument/2006/relationships/hyperlink" Target="https://www.nasaa.org/74734/nasaa-announces-106-million-multi-state-settlement-with-vanguard/?qoid=current-headlines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c.gov/files/risk-alert-registered-investment-companies.pdf" TargetMode="External"/><Relationship Id="rId22" Type="http://schemas.openxmlformats.org/officeDocument/2006/relationships/hyperlink" Target="https://www.finra.org/rules-guidance/guidance/reports/2025-finra-annual-regulatory-oversight-report/best-execution" TargetMode="External"/><Relationship Id="rId27" Type="http://schemas.openxmlformats.org/officeDocument/2006/relationships/hyperlink" Target="https://www.finra.org/sites/default/files/2025-03/Regulatory-Notice-25-05_1.pdf" TargetMode="External"/><Relationship Id="rId30" Type="http://schemas.openxmlformats.org/officeDocument/2006/relationships/hyperlink" Target="https://www.msrb.org/sites/default/files/2025-04/First-Quarter-2025-Municipal-Securities-Market-Summary.pdf" TargetMode="External"/><Relationship Id="rId35" Type="http://schemas.openxmlformats.org/officeDocument/2006/relationships/hyperlink" Target="https://www.msrb.org/sites/default/files/2024-05/2024-08.pdf" TargetMode="External"/><Relationship Id="rId43" Type="http://schemas.openxmlformats.org/officeDocument/2006/relationships/hyperlink" Target="https://www.nasaa.org/74391/nasaa-announces-17-million-multi-state-enforcement-settlement-with-edward-jones/?qoid=current-headlines" TargetMode="External"/><Relationship Id="rId48" Type="http://schemas.openxmlformats.org/officeDocument/2006/relationships/hyperlink" Target="https://urldefense.com/v3/__https:/dfr.vermont.gov/sites/finreg/files/documents/DFR*20IA*20Alert.pdf__;JSU!!MQQ7itY!OIkxtG1SJNK74u1Vo6UsPR0nieiQueTI-iFCnaqqYdbRauct0w8zd71oYRgKDGvKB3jAo47_LRoRqUinJ9I$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ec.gov/rules-regulations/2025/03/33-11366" TargetMode="External"/><Relationship Id="rId17" Type="http://schemas.openxmlformats.org/officeDocument/2006/relationships/hyperlink" Target="https://www.finra.org/rules-guidance/guidance/reports/2025-finra-annual-regulatory-oversight-report/third-party-risk" TargetMode="External"/><Relationship Id="rId25" Type="http://schemas.openxmlformats.org/officeDocument/2006/relationships/hyperlink" Target="https://www.finra.org/sites/default/files/2025-04/Regulation-Notice-25-07.pdf" TargetMode="External"/><Relationship Id="rId33" Type="http://schemas.openxmlformats.org/officeDocument/2006/relationships/hyperlink" Target="https://www.msrb.org/sites/default/files/2024-09/2024-12.pdf" TargetMode="External"/><Relationship Id="rId38" Type="http://schemas.openxmlformats.org/officeDocument/2006/relationships/hyperlink" Target="https://www.msrb.org/sites/default/files/2025-02/MSRB-What-Drives-Trading-Volume-in-the-MSM.pdf" TargetMode="External"/><Relationship Id="rId46" Type="http://schemas.openxmlformats.org/officeDocument/2006/relationships/hyperlink" Target="https://urldefense.com/v3/__https:/www.njconsumeraffairs.gov/bos/Documents/INVESTMENT-ADVISER-ALERT-031725.pdf__;!!MQQ7itY!OIkxtG1SJNK74u1Vo6UsPR0nieiQueTI-iFCnaqqYdbRauct0w8zd71oYRgKDGvKB3jAo47_LRoRz4abYfE$" TargetMode="External"/><Relationship Id="rId20" Type="http://schemas.openxmlformats.org/officeDocument/2006/relationships/hyperlink" Target="https://www.finra.org/rules-guidance/guidance/reports/2025-finra-annual-regulatory-oversight-report/reg-bi-form-crs" TargetMode="External"/><Relationship Id="rId41" Type="http://schemas.openxmlformats.org/officeDocument/2006/relationships/hyperlink" Target="https://www.nasaa.org/wp-content/uploads/2025/04/BD-Dishonest-Unethical-BusPrac_FINAL_4-7-25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sec.gov/files/risk-alert-muni-advisors-120924.pdf" TargetMode="External"/><Relationship Id="rId23" Type="http://schemas.openxmlformats.org/officeDocument/2006/relationships/hyperlink" Target="https://www.finra.org/rules-guidance/notices/21-29" TargetMode="External"/><Relationship Id="rId28" Type="http://schemas.openxmlformats.org/officeDocument/2006/relationships/hyperlink" Target="https://www.finra.org/sites/default/files/2025-03/Regulatory-Notice-25-04.pdf" TargetMode="External"/><Relationship Id="rId36" Type="http://schemas.openxmlformats.org/officeDocument/2006/relationships/hyperlink" Target="https://www.msrb.org/sites/default/files/MSRB-Supervisory-Responsibilities-of-Qualified-Principals.pdf" TargetMode="External"/><Relationship Id="rId49" Type="http://schemas.openxmlformats.org/officeDocument/2006/relationships/hyperlink" Target="https://urldefense.com/v3/__https:/makecentsmakesense.nebraska.gov/sites/default/files/legal/Third*20Party*20Technology*20Tools*20Guidance_0.pdf__;JSUlJQ!!MQQ7itY!OIkxtG1SJNK74u1Vo6UsPR0nieiQueTI-iFCnaqqYdbRauct0w8zd71oYRgKDGvKB3jAo47_LRoR46C7c1Y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F02A879EA8C46A5467162D6AE4A9D" ma:contentTypeVersion="18" ma:contentTypeDescription="Create a new document." ma:contentTypeScope="" ma:versionID="657a527118d90d2ad2643d78e97fd716">
  <xsd:schema xmlns:xsd="http://www.w3.org/2001/XMLSchema" xmlns:xs="http://www.w3.org/2001/XMLSchema" xmlns:p="http://schemas.microsoft.com/office/2006/metadata/properties" xmlns:ns3="b9b367fb-6deb-47a9-af82-b79f63448abd" xmlns:ns4="12b408ff-d986-4270-aaf5-b944505d0d4c" targetNamespace="http://schemas.microsoft.com/office/2006/metadata/properties" ma:root="true" ma:fieldsID="57250565cfaf438332f6dae0c06da1c0" ns3:_="" ns4:_="">
    <xsd:import namespace="b9b367fb-6deb-47a9-af82-b79f63448abd"/>
    <xsd:import namespace="12b408ff-d986-4270-aaf5-b944505d0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367fb-6deb-47a9-af82-b79f63448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408ff-d986-4270-aaf5-b944505d0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367fb-6deb-47a9-af82-b79f63448a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B306-854E-4DFB-B2EF-2586E0697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367fb-6deb-47a9-af82-b79f63448abd"/>
    <ds:schemaRef ds:uri="12b408ff-d986-4270-aaf5-b944505d0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84231-3B58-47FA-9011-38D5C66CC006}">
  <ds:schemaRefs>
    <ds:schemaRef ds:uri="http://schemas.microsoft.com/office/2006/metadata/properties"/>
    <ds:schemaRef ds:uri="http://schemas.microsoft.com/office/infopath/2007/PartnerControls"/>
    <ds:schemaRef ds:uri="b9b367fb-6deb-47a9-af82-b79f63448abd"/>
  </ds:schemaRefs>
</ds:datastoreItem>
</file>

<file path=customXml/itemProps3.xml><?xml version="1.0" encoding="utf-8"?>
<ds:datastoreItem xmlns:ds="http://schemas.openxmlformats.org/officeDocument/2006/customXml" ds:itemID="{544903D4-DD31-4E97-9FBC-BFBE73445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14587-CF3B-40D3-9368-25310CAD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FINRA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Friedlander, Cynthia</dc:creator>
  <cp:keywords/>
  <dc:description/>
  <cp:lastModifiedBy>Buxton, Tiffany</cp:lastModifiedBy>
  <cp:revision>4</cp:revision>
  <dcterms:created xsi:type="dcterms:W3CDTF">2025-04-18T16:29:00Z</dcterms:created>
  <dcterms:modified xsi:type="dcterms:W3CDTF">2025-04-21T13:26:00Z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0x010100659F02A879EA8C46A5467162D6AE4A9D</vt:lpwstr>
  </property>
</Properties>
</file>